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CONSORTIUM &amp; CONTRACTUAL ARRANGEMENTS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project is led by EcoHealth Alliance, New York (Dr. Huff, PI), which will subcontract funds to two organizations, The Clango Group (Steven J. Hawkins) and the International Society for Disease Surveillance (ISDS; Dr. Laura Streichert).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applicant organization (EcoHealth Alliance) is justified in taking the lead on this project because it specializes in technological solutions for disease surveillance and data management for research. The subcontractees will work on specific issues and areas in which they have proven expertise. These areas are: data security and privacy (Clango Group) and collaborative One Health disease surveillance methods (ISDS).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Dr. Huff has experience in managing partnering organizations in collaborative research technology projects including a partnership with DIT (Clango’s parent company) on a 2 year Defense Threat Reduction Agency biosurveillance research grant.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